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010681">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010681" w:rsidRDefault="00F43438">
            <w:pPr>
              <w:keepNext/>
            </w:pPr>
            <w:r>
              <w:rPr>
                <w:noProof/>
              </w:rPr>
              <w:drawing>
                <wp:inline distT="0" distB="0" distL="0" distR="0">
                  <wp:extent cx="571500" cy="9525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010681" w:rsidRDefault="00F43438">
            <w:pPr>
              <w:pStyle w:val="Titredesnotices"/>
              <w:keepNext/>
              <w:spacing w:after="100" w:line="300" w:lineRule="auto"/>
            </w:pPr>
            <w:r>
              <w:t>Eduquer à la sexualité : religions, laïcités, sexualités</w:t>
            </w:r>
          </w:p>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010681"/>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F43438">
            <w:pPr>
              <w:pStyle w:val="Rsumdesnotices"/>
              <w:keepNext/>
              <w:spacing w:line="270" w:lineRule="auto"/>
            </w:pPr>
            <w:r>
              <w:t>Un recueil de contributions consacrées à l'instauration progressive d'une éducation à la sexualité à l'école. Ce mouvement accompagne la sécularisation en France à partir du XIXe siècle et l'importance croissante du concept de laïcité dans le système d'ens</w:t>
            </w:r>
            <w:r>
              <w:t>eignement. Des comparaisons sont faites avec d'autres pays comme le Mexique et le Maroc.</w:t>
            </w:r>
          </w:p>
        </w:tc>
      </w:tr>
    </w:tbl>
    <w:p w:rsidR="00010681" w:rsidRDefault="00010681">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010681">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010681" w:rsidRDefault="00F43438">
            <w:pPr>
              <w:keepNext/>
            </w:pPr>
            <w:r>
              <w:rPr>
                <w:noProof/>
              </w:rPr>
              <w:drawing>
                <wp:inline distT="0" distB="0" distL="0" distR="0">
                  <wp:extent cx="571500" cy="9525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010681" w:rsidRDefault="00F43438">
            <w:pPr>
              <w:pStyle w:val="Titredesnotices"/>
              <w:keepNext/>
              <w:spacing w:after="100" w:line="300" w:lineRule="auto"/>
            </w:pPr>
            <w:r>
              <w:t>L'Institut français de presse : histoire d'une identité singulière</w:t>
            </w:r>
          </w:p>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010681"/>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F43438">
            <w:pPr>
              <w:pStyle w:val="Rsumdesnotices"/>
              <w:keepNext/>
              <w:spacing w:line="270" w:lineRule="auto"/>
            </w:pPr>
            <w:r>
              <w:t>Créé en 1937, l'IFP est la plus ancienne structure française d'enseignement et de recherche sur les médias. Ces contributions mettent en perspective sa singularité et retracent ses transformations dans la seconde moitié du XXe siècle, revenant sur sa genès</w:t>
            </w:r>
            <w:r>
              <w:t>e et analysant la spécificité des disciplines enseignées : droit de l'information, histoire et sociologie des médias, économie de la presse.</w:t>
            </w:r>
          </w:p>
        </w:tc>
      </w:tr>
    </w:tbl>
    <w:p w:rsidR="00010681" w:rsidRDefault="00010681">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010681">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010681" w:rsidRDefault="00F43438">
            <w:pPr>
              <w:keepNext/>
            </w:pPr>
            <w:r>
              <w:rPr>
                <w:noProof/>
              </w:rPr>
              <w:drawing>
                <wp:inline distT="0" distB="0" distL="0" distR="0">
                  <wp:extent cx="571500" cy="9525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010681" w:rsidRDefault="00F43438">
            <w:pPr>
              <w:pStyle w:val="Titredesnotices"/>
              <w:keepNext/>
              <w:spacing w:after="100" w:line="300" w:lineRule="auto"/>
            </w:pPr>
            <w:r>
              <w:t>Sociologie de l'environnement</w:t>
            </w:r>
          </w:p>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010681"/>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F43438">
            <w:pPr>
              <w:pStyle w:val="Rsumdesnotices"/>
              <w:keepNext/>
              <w:spacing w:line="270" w:lineRule="auto"/>
            </w:pPr>
            <w:r>
              <w:t>Une étude des différents processus sociaux, culturels, économiques, politiques et institutionnels qui mettent en lumière l'impact des activités humaines sur l'environnement. Les auteurs détaillent les inégalités liées au défi écologique, notamment les effe</w:t>
            </w:r>
            <w:r>
              <w:t>ts sociaux des politiques environnementales.</w:t>
            </w:r>
          </w:p>
        </w:tc>
      </w:tr>
    </w:tbl>
    <w:p w:rsidR="00010681" w:rsidRDefault="00010681">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010681">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010681" w:rsidRDefault="00F43438">
            <w:pPr>
              <w:keepNext/>
            </w:pPr>
            <w:r>
              <w:rPr>
                <w:noProof/>
              </w:rPr>
              <w:drawing>
                <wp:inline distT="0" distB="0" distL="0" distR="0">
                  <wp:extent cx="571500" cy="9525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010681" w:rsidRDefault="00F43438">
            <w:pPr>
              <w:pStyle w:val="Titredesnotices"/>
              <w:keepNext/>
              <w:spacing w:after="100" w:line="300" w:lineRule="auto"/>
            </w:pPr>
            <w:proofErr w:type="spellStart"/>
            <w:r>
              <w:t>Tèque</w:t>
            </w:r>
            <w:proofErr w:type="spellEnd"/>
            <w:r>
              <w:t>, n° 4. Calculer et promettre : au-delà de l'idéologie de la Silicon Valley</w:t>
            </w:r>
          </w:p>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010681"/>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F43438">
            <w:pPr>
              <w:pStyle w:val="Rsumdesnotices"/>
              <w:keepNext/>
              <w:spacing w:line="270" w:lineRule="auto"/>
            </w:pPr>
            <w:r>
              <w:t xml:space="preserve">Des dossiers éclairant les rapports de l'homme aux nouvelles technologies. Les contributeurs étudient notamment l'approche antifasciste de l'intelligence artificielle, le </w:t>
            </w:r>
            <w:proofErr w:type="spellStart"/>
            <w:r>
              <w:t>capital risque</w:t>
            </w:r>
            <w:proofErr w:type="spellEnd"/>
            <w:r>
              <w:t xml:space="preserve"> technologique en France ou encore les manageuses de comptes </w:t>
            </w:r>
            <w:proofErr w:type="spellStart"/>
            <w:r>
              <w:t>OnlyFans</w:t>
            </w:r>
            <w:proofErr w:type="spellEnd"/>
            <w:r>
              <w:t>.</w:t>
            </w:r>
          </w:p>
        </w:tc>
      </w:tr>
    </w:tbl>
    <w:p w:rsidR="00010681" w:rsidRDefault="00010681">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010681">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010681" w:rsidRDefault="00F43438">
            <w:pPr>
              <w:keepNext/>
            </w:pPr>
            <w:r>
              <w:rPr>
                <w:noProof/>
              </w:rPr>
              <w:drawing>
                <wp:inline distT="0" distB="0" distL="0" distR="0">
                  <wp:extent cx="571500" cy="9525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010681" w:rsidRDefault="00F43438">
            <w:pPr>
              <w:pStyle w:val="Titredesnotices"/>
              <w:keepNext/>
              <w:spacing w:after="100" w:line="300" w:lineRule="auto"/>
            </w:pPr>
            <w:proofErr w:type="spellStart"/>
            <w:r>
              <w:t>Technopolice</w:t>
            </w:r>
            <w:proofErr w:type="spellEnd"/>
            <w:r>
              <w:t xml:space="preserve"> : la surveillance policière à l'ère de l'intelligence artificielle</w:t>
            </w:r>
          </w:p>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010681"/>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F43438">
            <w:pPr>
              <w:pStyle w:val="Rsumdesnotices"/>
              <w:keepNext/>
              <w:spacing w:line="270" w:lineRule="auto"/>
            </w:pPr>
            <w:r>
              <w:t>Analyse des raisons et des enjeux de la technologisation croissante du maintien de l'ordre ainsi que de la gouvernance urbaine.</w:t>
            </w:r>
          </w:p>
        </w:tc>
      </w:tr>
    </w:tbl>
    <w:p w:rsidR="00010681" w:rsidRDefault="00010681">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010681">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010681" w:rsidRDefault="00F43438">
            <w:pPr>
              <w:keepNext/>
            </w:pPr>
            <w:r>
              <w:rPr>
                <w:noProof/>
              </w:rPr>
              <w:drawing>
                <wp:inline distT="0" distB="0" distL="0" distR="0">
                  <wp:extent cx="571500" cy="9525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010681" w:rsidRDefault="00F43438">
            <w:pPr>
              <w:pStyle w:val="Titredesnotices"/>
              <w:keepNext/>
              <w:spacing w:after="100" w:line="300" w:lineRule="auto"/>
            </w:pPr>
            <w:r>
              <w:t>Les prophètes de l'IA : Pourquoi la Silicon Valley nous vend l’apocalypse</w:t>
            </w:r>
          </w:p>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010681"/>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F43438">
            <w:pPr>
              <w:pStyle w:val="Rsumdesnotices"/>
              <w:keepNext/>
              <w:spacing w:line="270" w:lineRule="auto"/>
            </w:pPr>
            <w:r>
              <w:t xml:space="preserve">Certains les appellent les </w:t>
            </w:r>
            <w:proofErr w:type="spellStart"/>
            <w:r>
              <w:t>doomers</w:t>
            </w:r>
            <w:proofErr w:type="spellEnd"/>
            <w:r>
              <w:t xml:space="preserve"> – les catastrophistes – ou encore les techno-oligarques. Nous les appellerons les «prophètes». Cette congrégation se compose majoritairement d’hommes blancs, issus des élites universitaire et entrepreneuriale...</w:t>
            </w:r>
          </w:p>
        </w:tc>
      </w:tr>
    </w:tbl>
    <w:p w:rsidR="00010681" w:rsidRDefault="00010681">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010681">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010681" w:rsidRDefault="00F43438">
            <w:pPr>
              <w:keepNext/>
            </w:pPr>
            <w:r>
              <w:rPr>
                <w:noProof/>
              </w:rPr>
              <w:drawing>
                <wp:inline distT="0" distB="0" distL="0" distR="0">
                  <wp:extent cx="571500" cy="9525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010681" w:rsidRDefault="00F43438">
            <w:pPr>
              <w:pStyle w:val="Titredesnotices"/>
              <w:keepNext/>
              <w:spacing w:after="100" w:line="300" w:lineRule="auto"/>
            </w:pPr>
            <w:r>
              <w:t>La domination oubliée : politiser les rapports adulte-enfant</w:t>
            </w:r>
          </w:p>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010681"/>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F43438">
            <w:pPr>
              <w:pStyle w:val="Rsumdesnotices"/>
              <w:keepNext/>
              <w:spacing w:line="270" w:lineRule="auto"/>
            </w:pPr>
            <w:r>
              <w:t xml:space="preserve">En s'appuyant sur des travaux issus de la philosophie classique puis de la théorie féministe, l'auteure interroge les rapports socio-économiques, le statut de minorités et l'institution familiale. Elle propose de dénaturaliser et repolitiser la domination </w:t>
            </w:r>
            <w:r>
              <w:t>adulte et ouvre des pistes de réflexion sur l'oppression des enfants, notamment sur la culture de l'inceste.</w:t>
            </w:r>
          </w:p>
        </w:tc>
      </w:tr>
    </w:tbl>
    <w:p w:rsidR="00010681" w:rsidRDefault="00010681">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010681">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010681" w:rsidRDefault="00F43438">
            <w:pPr>
              <w:keepNext/>
            </w:pPr>
            <w:r>
              <w:rPr>
                <w:noProof/>
              </w:rPr>
              <w:lastRenderedPageBreak/>
              <w:drawing>
                <wp:inline distT="0" distB="0" distL="0" distR="0">
                  <wp:extent cx="571500" cy="9525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010681" w:rsidRDefault="00F43438">
            <w:pPr>
              <w:pStyle w:val="Titredesnotices"/>
              <w:keepNext/>
              <w:spacing w:after="100" w:line="300" w:lineRule="auto"/>
            </w:pPr>
            <w:r>
              <w:t>L'IA en santé</w:t>
            </w:r>
          </w:p>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010681"/>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F43438">
            <w:pPr>
              <w:pStyle w:val="Rsumdesnotices"/>
              <w:keepNext/>
              <w:spacing w:line="270" w:lineRule="auto"/>
            </w:pPr>
            <w:r>
              <w:t>Issues d'un séminaire, ces 21 contributions abordent la révolution numérique de l'intelligence artificielle qui touche les métiers et les pratiques du domaine médical. Les contributeurs se penchent notamment sur les évolutions théoriques, les outils et les</w:t>
            </w:r>
            <w:r>
              <w:t xml:space="preserve"> stratégies en perspective dans les technologies de la santé.</w:t>
            </w:r>
          </w:p>
        </w:tc>
      </w:tr>
    </w:tbl>
    <w:p w:rsidR="00010681" w:rsidRDefault="00010681">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010681">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010681" w:rsidRDefault="00F43438">
            <w:pPr>
              <w:keepNext/>
            </w:pPr>
            <w:r>
              <w:rPr>
                <w:noProof/>
              </w:rPr>
              <w:drawing>
                <wp:inline distT="0" distB="0" distL="0" distR="0">
                  <wp:extent cx="571500" cy="9525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010681" w:rsidRDefault="00F43438">
            <w:pPr>
              <w:pStyle w:val="Titredesnotices"/>
              <w:keepNext/>
              <w:spacing w:after="100" w:line="300" w:lineRule="auto"/>
            </w:pPr>
            <w:r>
              <w:t>De l'IA à l'intelligence clinique : ce que le numérique fait au soin</w:t>
            </w:r>
          </w:p>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010681"/>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F43438">
            <w:pPr>
              <w:pStyle w:val="Rsumdesnotices"/>
              <w:keepNext/>
              <w:spacing w:line="270" w:lineRule="auto"/>
            </w:pPr>
            <w:r>
              <w:t>Des contributions pluridisciplinaires explorant les effets du numérique sur le soin et l'impact de l'intelligence artificielle et de la robotique sur la pratique clinique.</w:t>
            </w:r>
          </w:p>
        </w:tc>
      </w:tr>
    </w:tbl>
    <w:p w:rsidR="00010681" w:rsidRDefault="00010681">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010681">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010681" w:rsidRDefault="00F43438">
            <w:pPr>
              <w:keepNext/>
            </w:pPr>
            <w:r>
              <w:rPr>
                <w:noProof/>
              </w:rPr>
              <w:drawing>
                <wp:inline distT="0" distB="0" distL="0" distR="0">
                  <wp:extent cx="571500" cy="9525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010681" w:rsidRDefault="00F43438">
            <w:pPr>
              <w:pStyle w:val="Titredesnotices"/>
              <w:keepNext/>
              <w:spacing w:after="100" w:line="300" w:lineRule="auto"/>
            </w:pPr>
            <w:r>
              <w:t xml:space="preserve">Les enjeux du numérique en santé : intelligence artificielle, données de santé, </w:t>
            </w:r>
            <w:r>
              <w:t>patient</w:t>
            </w:r>
          </w:p>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010681"/>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F43438">
            <w:pPr>
              <w:pStyle w:val="Rsumdesnotices"/>
              <w:keepNext/>
              <w:spacing w:line="270" w:lineRule="auto"/>
            </w:pPr>
            <w:r>
              <w:t>Issues d'un colloque, des réflexions sur les enjeux du numérique dans le domaine de la santé, et les bouleversements que cela peut entraîner en terme juridique, notamment pour la protection des données de santé. Les questions autour de la plateforme Doctol</w:t>
            </w:r>
            <w:r>
              <w:t>ib et de l'intelligence artificielle sont également analysées.</w:t>
            </w:r>
          </w:p>
        </w:tc>
      </w:tr>
    </w:tbl>
    <w:p w:rsidR="00010681" w:rsidRDefault="00010681">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010681">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010681" w:rsidRDefault="00F43438">
            <w:pPr>
              <w:keepNext/>
            </w:pPr>
            <w:r>
              <w:rPr>
                <w:noProof/>
              </w:rPr>
              <w:drawing>
                <wp:inline distT="0" distB="0" distL="0" distR="0">
                  <wp:extent cx="571500" cy="9525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010681" w:rsidRDefault="00F43438">
            <w:pPr>
              <w:pStyle w:val="Titredesnotices"/>
              <w:keepNext/>
              <w:spacing w:after="100" w:line="300" w:lineRule="auto"/>
            </w:pPr>
            <w:r>
              <w:t xml:space="preserve">Fragments de science. Vol. 5. Le sphagnum </w:t>
            </w:r>
            <w:proofErr w:type="spellStart"/>
            <w:r>
              <w:t>acutifolium</w:t>
            </w:r>
            <w:proofErr w:type="spellEnd"/>
            <w:r>
              <w:t xml:space="preserve">, la fluorite, l'homme de </w:t>
            </w:r>
            <w:proofErr w:type="spellStart"/>
            <w:r>
              <w:t>Libos</w:t>
            </w:r>
            <w:proofErr w:type="spellEnd"/>
            <w:r>
              <w:t>, l'héliostat de Foucault, la loi de la gravitation universelle</w:t>
            </w:r>
          </w:p>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010681"/>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F43438">
            <w:pPr>
              <w:pStyle w:val="Rsumdesnotices"/>
              <w:keepNext/>
              <w:spacing w:line="270" w:lineRule="auto"/>
            </w:pPr>
            <w:r>
              <w:t>A la manière d'un cabinet de curiosités, présentation de cinq éléments hétéroclites permettant de recomposer et de déchiffrer la mémoire collective associée à la grande aventure scientifique : une mousse qui conjugue décomposition et conservation, un minér</w:t>
            </w:r>
            <w:r>
              <w:t>al aux couleurs et compositions variées, un chasseur de rennes du Lot-et-Garonne, un piège à lumière et une loi.</w:t>
            </w:r>
          </w:p>
        </w:tc>
      </w:tr>
    </w:tbl>
    <w:p w:rsidR="00010681" w:rsidRDefault="00010681">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010681">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010681" w:rsidRDefault="00F43438">
            <w:pPr>
              <w:keepNext/>
            </w:pPr>
            <w:r>
              <w:rPr>
                <w:noProof/>
              </w:rPr>
              <w:drawing>
                <wp:inline distT="0" distB="0" distL="0" distR="0">
                  <wp:extent cx="571500" cy="9525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010681" w:rsidRDefault="00F43438">
            <w:pPr>
              <w:pStyle w:val="Titredesnotices"/>
              <w:keepNext/>
              <w:spacing w:after="100" w:line="300" w:lineRule="auto"/>
            </w:pPr>
            <w:r>
              <w:t>Une journée avec Bruno Latour</w:t>
            </w:r>
          </w:p>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010681"/>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F43438">
            <w:pPr>
              <w:pStyle w:val="Rsumdesnotices"/>
              <w:keepNext/>
              <w:spacing w:line="270" w:lineRule="auto"/>
            </w:pPr>
            <w:r>
              <w:t>Des membres du Centre de sociologie de l'innovation (CSI) et des chercheurs croisent leurs regards sur les travaux ainsi que sur l'héritage intellectuel du sociologue, anthropologue et philosophe français B. Latour.</w:t>
            </w:r>
          </w:p>
        </w:tc>
      </w:tr>
    </w:tbl>
    <w:p w:rsidR="00010681" w:rsidRDefault="00010681">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010681">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010681" w:rsidRDefault="00F43438">
            <w:pPr>
              <w:keepNext/>
            </w:pPr>
            <w:r>
              <w:rPr>
                <w:noProof/>
              </w:rPr>
              <w:drawing>
                <wp:inline distT="0" distB="0" distL="0" distR="0">
                  <wp:extent cx="571500" cy="9525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010681" w:rsidRDefault="00F43438">
            <w:pPr>
              <w:pStyle w:val="Titredesnotices"/>
              <w:keepNext/>
              <w:spacing w:after="100" w:line="300" w:lineRule="auto"/>
            </w:pPr>
            <w:r>
              <w:t>La communication des mouvements sociaux : pratiques militantes et stratégies médiatiques</w:t>
            </w:r>
          </w:p>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010681"/>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F43438">
            <w:pPr>
              <w:pStyle w:val="Rsumdesnotices"/>
              <w:keepNext/>
              <w:spacing w:line="270" w:lineRule="auto"/>
            </w:pPr>
            <w:r>
              <w:t xml:space="preserve">Une synthèse des études sur la médiatisation des mouvements sociaux ainsi que sur les stratégies de communication des organisations contestataires telles que les partis d'opposition, les associations et les réseaux d'activistes. L'auteur met en lumière la </w:t>
            </w:r>
            <w:r>
              <w:t>diversité des pratiques journalistiques, militantes et citoyennes utilisées pour prendre la parole en public ou encore mobiliser les émotions.</w:t>
            </w:r>
          </w:p>
        </w:tc>
      </w:tr>
    </w:tbl>
    <w:p w:rsidR="00010681" w:rsidRDefault="00010681">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010681">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010681" w:rsidRDefault="00F43438">
            <w:pPr>
              <w:keepNext/>
            </w:pPr>
            <w:r>
              <w:rPr>
                <w:noProof/>
              </w:rPr>
              <w:drawing>
                <wp:inline distT="0" distB="0" distL="0" distR="0">
                  <wp:extent cx="571500" cy="952500"/>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010681" w:rsidRDefault="00F43438">
            <w:pPr>
              <w:pStyle w:val="Titredesnotices"/>
              <w:keepNext/>
              <w:spacing w:after="100" w:line="300" w:lineRule="auto"/>
            </w:pPr>
            <w:r>
              <w:t>Vers l'approche par compétences : théories et pratiques pour l'enseignement supérieur</w:t>
            </w:r>
          </w:p>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010681"/>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F43438">
            <w:pPr>
              <w:pStyle w:val="Rsumdesnotices"/>
              <w:keepNext/>
              <w:spacing w:line="270" w:lineRule="auto"/>
            </w:pPr>
            <w:r>
              <w:t>Présentation des aspects historiques de l'approche par compétences, des expérimentations déjà mises en place et d'une visée prospective pour l'avenir par des chercheurs, des praticiens, des responsables institutionnels ou de formation engagés dans une dyna</w:t>
            </w:r>
            <w:r>
              <w:t>mique collective de changement des pratiques universitaires.</w:t>
            </w:r>
          </w:p>
        </w:tc>
      </w:tr>
    </w:tbl>
    <w:p w:rsidR="00010681" w:rsidRDefault="00010681">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010681">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010681" w:rsidRDefault="00F43438">
            <w:pPr>
              <w:keepNext/>
            </w:pPr>
            <w:r>
              <w:rPr>
                <w:noProof/>
              </w:rPr>
              <w:lastRenderedPageBreak/>
              <w:drawing>
                <wp:inline distT="0" distB="0" distL="0" distR="0">
                  <wp:extent cx="571500" cy="95250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1"/>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010681" w:rsidRDefault="00F43438">
            <w:pPr>
              <w:pStyle w:val="Titredesnotices"/>
              <w:keepNext/>
              <w:spacing w:after="100" w:line="300" w:lineRule="auto"/>
            </w:pPr>
            <w:r>
              <w:t>Patrimoine thermal : de la gloire au péril</w:t>
            </w:r>
          </w:p>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010681"/>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F43438">
            <w:pPr>
              <w:pStyle w:val="Rsumdesnotices"/>
              <w:keepNext/>
              <w:spacing w:line="270" w:lineRule="auto"/>
            </w:pPr>
            <w:r>
              <w:t>Ces seize contributions mettent en perspective les analyses architecturales et les appropriations culturelles de l'espace thermal avec la problématique de sa décadence. Elles s'appuient principalement sur les Pyrénées françaises et ibériques dans le but de</w:t>
            </w:r>
            <w:r>
              <w:t xml:space="preserve"> susciter une prise de conscience de la valeur de ce patrimoine en vue de sa sauvegarde.</w:t>
            </w:r>
          </w:p>
        </w:tc>
      </w:tr>
    </w:tbl>
    <w:p w:rsidR="00010681" w:rsidRDefault="00010681">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010681">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010681" w:rsidRDefault="00F43438">
            <w:pPr>
              <w:keepNext/>
            </w:pPr>
            <w:r>
              <w:rPr>
                <w:noProof/>
              </w:rPr>
              <w:drawing>
                <wp:inline distT="0" distB="0" distL="0" distR="0">
                  <wp:extent cx="571500" cy="95250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010681" w:rsidRDefault="00F43438">
            <w:pPr>
              <w:pStyle w:val="Titredesnotices"/>
              <w:keepNext/>
              <w:spacing w:after="100" w:line="300" w:lineRule="auto"/>
            </w:pPr>
            <w:r>
              <w:t xml:space="preserve">Les discours sur l’environnement, entre </w:t>
            </w:r>
            <w:proofErr w:type="spellStart"/>
            <w:r>
              <w:t>performativite</w:t>
            </w:r>
            <w:proofErr w:type="spellEnd"/>
            <w:r>
              <w:t xml:space="preserve"> et mise en scène de l’action</w:t>
            </w:r>
          </w:p>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010681"/>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010681">
            <w:pPr>
              <w:pStyle w:val="Rsumdesnotices"/>
              <w:keepNext/>
              <w:spacing w:line="270" w:lineRule="auto"/>
            </w:pPr>
          </w:p>
        </w:tc>
      </w:tr>
    </w:tbl>
    <w:p w:rsidR="00010681" w:rsidRDefault="00010681">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010681">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010681" w:rsidRDefault="00F43438">
            <w:pPr>
              <w:keepNext/>
            </w:pPr>
            <w:r>
              <w:rPr>
                <w:noProof/>
              </w:rPr>
              <w:drawing>
                <wp:inline distT="0" distB="0" distL="0" distR="0">
                  <wp:extent cx="571500" cy="952500"/>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3"/>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010681" w:rsidRDefault="00F43438">
            <w:pPr>
              <w:pStyle w:val="Titredesnotices"/>
              <w:keepNext/>
              <w:spacing w:after="100" w:line="300" w:lineRule="auto"/>
            </w:pPr>
            <w:r>
              <w:t xml:space="preserve">7 jours pour rédiger comme un pro avec </w:t>
            </w:r>
            <w:proofErr w:type="spellStart"/>
            <w:r>
              <w:t>ChatGPT</w:t>
            </w:r>
            <w:proofErr w:type="spellEnd"/>
            <w:r>
              <w:t xml:space="preserve"> : plans d'action, outils, conseils</w:t>
            </w:r>
          </w:p>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010681"/>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F43438">
            <w:pPr>
              <w:pStyle w:val="Rsumdesnotices"/>
              <w:keepNext/>
              <w:spacing w:line="270" w:lineRule="auto"/>
            </w:pPr>
            <w:r>
              <w:t xml:space="preserve">Guide pratique pour intégrer </w:t>
            </w:r>
            <w:proofErr w:type="spellStart"/>
            <w:r>
              <w:t>ChatGPT</w:t>
            </w:r>
            <w:proofErr w:type="spellEnd"/>
            <w:r>
              <w:t xml:space="preserve"> dans tous ses projets rédactionnels avec des stratégies pour ajuster le ton, des méthodes pour diversifier ses écrits et des exercices ciblés pour améliorer son efficacité. L'ensemble s'accompagne d'entretiens de profes</w:t>
            </w:r>
            <w:r>
              <w:t>sionnels et de compléments en ligne.</w:t>
            </w:r>
          </w:p>
        </w:tc>
      </w:tr>
    </w:tbl>
    <w:p w:rsidR="00010681" w:rsidRDefault="00010681">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010681">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010681" w:rsidRDefault="00F43438">
            <w:pPr>
              <w:keepNext/>
            </w:pPr>
            <w:r>
              <w:rPr>
                <w:noProof/>
              </w:rPr>
              <w:drawing>
                <wp:inline distT="0" distB="0" distL="0" distR="0">
                  <wp:extent cx="571500" cy="95250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4"/>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010681" w:rsidRDefault="00F43438">
            <w:pPr>
              <w:pStyle w:val="Titredesnotices"/>
              <w:keepNext/>
              <w:spacing w:after="100" w:line="300" w:lineRule="auto"/>
            </w:pPr>
            <w:r>
              <w:t>Intégrer l'intelligence artificielle à l'université</w:t>
            </w:r>
          </w:p>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010681"/>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F43438">
            <w:pPr>
              <w:pStyle w:val="Rsumdesnotices"/>
              <w:keepNext/>
              <w:spacing w:line="270" w:lineRule="auto"/>
            </w:pPr>
            <w:r>
              <w:t>Réflexion sur les moyens à mettre en place pour intégrer l'intelligence artificielle dans l'enseignement supérieur et les organismes de recherche.</w:t>
            </w:r>
          </w:p>
        </w:tc>
      </w:tr>
    </w:tbl>
    <w:p w:rsidR="00010681" w:rsidRDefault="00010681">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010681">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010681" w:rsidRDefault="00F43438">
            <w:pPr>
              <w:keepNext/>
            </w:pPr>
            <w:r>
              <w:rPr>
                <w:noProof/>
              </w:rPr>
              <w:drawing>
                <wp:inline distT="0" distB="0" distL="0" distR="0">
                  <wp:extent cx="571500" cy="952500"/>
                  <wp:effectExtent l="0" t="0" r="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2"/>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010681" w:rsidRDefault="00F43438">
            <w:pPr>
              <w:pStyle w:val="Titredesnotices"/>
              <w:keepNext/>
              <w:spacing w:after="100" w:line="300" w:lineRule="auto"/>
            </w:pPr>
            <w:r>
              <w:t>IA générative: l'utiliser dans ses projets professionnels</w:t>
            </w:r>
          </w:p>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010681"/>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010681">
            <w:pPr>
              <w:pStyle w:val="Rsumdesnotices"/>
              <w:keepNext/>
              <w:spacing w:line="270" w:lineRule="auto"/>
            </w:pPr>
          </w:p>
        </w:tc>
      </w:tr>
    </w:tbl>
    <w:p w:rsidR="00010681" w:rsidRDefault="00010681">
      <w:pPr>
        <w:spacing w:after="300"/>
      </w:pPr>
    </w:p>
    <w:tbl>
      <w:tblPr>
        <w:tblW w:w="5000" w:type="pct"/>
        <w:tblBorders>
          <w:top w:val="none" w:sz="0" w:space="0" w:color="FFFFFF"/>
          <w:left w:val="none" w:sz="0" w:space="0" w:color="FFFFFF"/>
          <w:bottom w:val="none" w:sz="0" w:space="0" w:color="FFFFFF"/>
          <w:right w:val="none" w:sz="0" w:space="0" w:color="FFFFFF"/>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131"/>
        <w:gridCol w:w="4522"/>
      </w:tblGrid>
      <w:tr w:rsidR="00010681">
        <w:tblPrEx>
          <w:tblCellMar>
            <w:top w:w="0" w:type="dxa"/>
            <w:bottom w:w="0" w:type="dxa"/>
          </w:tblCellMar>
        </w:tblPrEx>
        <w:tc>
          <w:tcPr>
            <w:tcW w:w="1000" w:type="pct"/>
            <w:tcBorders>
              <w:top w:val="none" w:sz="0" w:space="0" w:color="FFFFFF"/>
              <w:left w:val="none" w:sz="0" w:space="0" w:color="FFFFFF"/>
              <w:bottom w:val="none" w:sz="0" w:space="0" w:color="FFFFFF"/>
              <w:right w:val="none" w:sz="0" w:space="0" w:color="FFFFFF"/>
            </w:tcBorders>
          </w:tcPr>
          <w:p w:rsidR="00010681" w:rsidRDefault="00F43438">
            <w:pPr>
              <w:keepNext/>
            </w:pPr>
            <w:r>
              <w:rPr>
                <w:noProof/>
              </w:rPr>
              <w:drawing>
                <wp:inline distT="0" distB="0" distL="0" distR="0">
                  <wp:extent cx="571500" cy="952500"/>
                  <wp:effectExtent l="0" t="0" r="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5"/>
                          <a:srcRect/>
                          <a:stretch>
                            <a:fillRect/>
                          </a:stretch>
                        </pic:blipFill>
                        <pic:spPr bwMode="auto">
                          <a:xfrm>
                            <a:off x="0" y="0"/>
                            <a:ext cx="571500" cy="952500"/>
                          </a:xfrm>
                          <a:prstGeom prst="rect">
                            <a:avLst/>
                          </a:prstGeom>
                        </pic:spPr>
                      </pic:pic>
                    </a:graphicData>
                  </a:graphic>
                </wp:inline>
              </w:drawing>
            </w:r>
          </w:p>
        </w:tc>
        <w:tc>
          <w:tcPr>
            <w:tcW w:w="4000" w:type="pct"/>
            <w:tcBorders>
              <w:top w:val="none" w:sz="0" w:space="0" w:color="FFFFFF"/>
              <w:left w:val="none" w:sz="0" w:space="0" w:color="FFFFFF"/>
              <w:bottom w:val="none" w:sz="0" w:space="0" w:color="FFFFFF"/>
              <w:right w:val="none" w:sz="0" w:space="0" w:color="FFFFFF"/>
            </w:tcBorders>
          </w:tcPr>
          <w:p w:rsidR="00010681" w:rsidRDefault="00F43438">
            <w:pPr>
              <w:pStyle w:val="Titredesnotices"/>
              <w:keepNext/>
              <w:spacing w:after="100" w:line="300" w:lineRule="auto"/>
            </w:pPr>
            <w:r>
              <w:t>Résister à la culpabilisation : sur quelques empêchements d'exister</w:t>
            </w:r>
          </w:p>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010681"/>
        </w:tc>
      </w:tr>
      <w:tr w:rsidR="00010681">
        <w:tblPrEx>
          <w:tblCellMar>
            <w:top w:w="0" w:type="dxa"/>
            <w:bottom w:w="0" w:type="dxa"/>
          </w:tblCellMar>
        </w:tblPrEx>
        <w:tc>
          <w:tcPr>
            <w:tcW w:w="0" w:type="auto"/>
            <w:gridSpan w:val="2"/>
            <w:tcBorders>
              <w:top w:val="none" w:sz="0" w:space="0" w:color="FFFFFF"/>
              <w:left w:val="none" w:sz="0" w:space="0" w:color="FFFFFF"/>
              <w:bottom w:val="none" w:sz="0" w:space="0" w:color="FFFFFF"/>
              <w:right w:val="none" w:sz="0" w:space="0" w:color="FFFFFF"/>
            </w:tcBorders>
          </w:tcPr>
          <w:p w:rsidR="00010681" w:rsidRDefault="00F43438">
            <w:pPr>
              <w:pStyle w:val="Rsumdesnotices"/>
              <w:keepNext/>
              <w:spacing w:line="270" w:lineRule="auto"/>
            </w:pPr>
            <w:r>
              <w:t>Une réflexion sur le sentiment de culpabilité dans la société, qui s'articule autour de quatre de ses manifestations : la diabolisation des enfants, la culpabilisation des femmes et des mères, le culte du travail et la résurgence de logiques punitives. L'a</w:t>
            </w:r>
            <w:r>
              <w:t>uteure montre qu'il est plus présent chez les catégories dominées, comme les enfants, les femmes et les minorités sexuelles ou raciales.</w:t>
            </w:r>
          </w:p>
        </w:tc>
      </w:tr>
    </w:tbl>
    <w:p w:rsidR="00000000" w:rsidRDefault="00F43438"/>
    <w:sectPr w:rsidR="00000000">
      <w:headerReference w:type="even" r:id="rId26"/>
      <w:headerReference w:type="default" r:id="rId27"/>
      <w:footerReference w:type="even" r:id="rId28"/>
      <w:footerReference w:type="default" r:id="rId29"/>
      <w:headerReference w:type="first" r:id="rId30"/>
      <w:footerReference w:type="first" r:id="rId31"/>
      <w:pgSz w:w="11906" w:h="16838"/>
      <w:pgMar w:top="1000" w:right="200" w:bottom="1000" w:left="200" w:header="708" w:footer="708" w:gutter="0"/>
      <w:cols w:num="2" w:space="20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3438" w:rsidRDefault="00F43438" w:rsidP="00F43438">
      <w:r>
        <w:separator/>
      </w:r>
    </w:p>
  </w:endnote>
  <w:endnote w:type="continuationSeparator" w:id="0">
    <w:p w:rsidR="00F43438" w:rsidRDefault="00F43438" w:rsidP="00F4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438" w:rsidRDefault="00F4343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438" w:rsidRDefault="00F4343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438" w:rsidRDefault="00F4343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3438" w:rsidRDefault="00F43438" w:rsidP="00F43438">
      <w:r>
        <w:separator/>
      </w:r>
    </w:p>
  </w:footnote>
  <w:footnote w:type="continuationSeparator" w:id="0">
    <w:p w:rsidR="00F43438" w:rsidRDefault="00F43438" w:rsidP="00F43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438" w:rsidRDefault="00F4343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438" w:rsidRDefault="00F43438">
    <w:pPr>
      <w:pStyle w:val="En-tte"/>
    </w:pPr>
    <w:r>
      <w:t>CDRSHS-NOUVEAUTES-OCT/NOV-2024</w:t>
    </w:r>
    <w:bookmarkStart w:id="0" w:name="_GoBack"/>
    <w:bookmarkEnd w:id="0"/>
  </w:p>
  <w:p w:rsidR="00F43438" w:rsidRDefault="00F43438">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3438" w:rsidRDefault="00F4343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4B4F79"/>
    <w:multiLevelType w:val="hybridMultilevel"/>
    <w:tmpl w:val="43ACAC40"/>
    <w:lvl w:ilvl="0" w:tplc="AEC4226C">
      <w:start w:val="1"/>
      <w:numFmt w:val="bullet"/>
      <w:lvlText w:val="●"/>
      <w:lvlJc w:val="left"/>
      <w:pPr>
        <w:ind w:left="720" w:hanging="360"/>
      </w:pPr>
    </w:lvl>
    <w:lvl w:ilvl="1" w:tplc="F97821EC">
      <w:start w:val="1"/>
      <w:numFmt w:val="bullet"/>
      <w:lvlText w:val="○"/>
      <w:lvlJc w:val="left"/>
      <w:pPr>
        <w:ind w:left="1440" w:hanging="360"/>
      </w:pPr>
    </w:lvl>
    <w:lvl w:ilvl="2" w:tplc="C74642C8">
      <w:start w:val="1"/>
      <w:numFmt w:val="bullet"/>
      <w:lvlText w:val="■"/>
      <w:lvlJc w:val="left"/>
      <w:pPr>
        <w:ind w:left="2160" w:hanging="360"/>
      </w:pPr>
    </w:lvl>
    <w:lvl w:ilvl="3" w:tplc="695C706E">
      <w:start w:val="1"/>
      <w:numFmt w:val="bullet"/>
      <w:lvlText w:val="●"/>
      <w:lvlJc w:val="left"/>
      <w:pPr>
        <w:ind w:left="2880" w:hanging="360"/>
      </w:pPr>
    </w:lvl>
    <w:lvl w:ilvl="4" w:tplc="A71A1FDC">
      <w:start w:val="1"/>
      <w:numFmt w:val="bullet"/>
      <w:lvlText w:val="○"/>
      <w:lvlJc w:val="left"/>
      <w:pPr>
        <w:ind w:left="3600" w:hanging="360"/>
      </w:pPr>
    </w:lvl>
    <w:lvl w:ilvl="5" w:tplc="BC7094A8">
      <w:start w:val="1"/>
      <w:numFmt w:val="bullet"/>
      <w:lvlText w:val="■"/>
      <w:lvlJc w:val="left"/>
      <w:pPr>
        <w:ind w:left="4320" w:hanging="360"/>
      </w:pPr>
    </w:lvl>
    <w:lvl w:ilvl="6" w:tplc="5A68A7F8">
      <w:start w:val="1"/>
      <w:numFmt w:val="bullet"/>
      <w:lvlText w:val="●"/>
      <w:lvlJc w:val="left"/>
      <w:pPr>
        <w:ind w:left="5040" w:hanging="360"/>
      </w:pPr>
    </w:lvl>
    <w:lvl w:ilvl="7" w:tplc="7B1A2D06">
      <w:start w:val="1"/>
      <w:numFmt w:val="bullet"/>
      <w:lvlText w:val="●"/>
      <w:lvlJc w:val="left"/>
      <w:pPr>
        <w:ind w:left="5760" w:hanging="360"/>
      </w:pPr>
    </w:lvl>
    <w:lvl w:ilvl="8" w:tplc="9AEAA9E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681"/>
    <w:rsid w:val="00010681"/>
    <w:rsid w:val="00F434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CFFF4DC"/>
  <w15:docId w15:val="{FD9A2319-6A5F-41CC-847D-55646DC8E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uiPriority w:val="9"/>
    <w:qFormat/>
    <w:pPr>
      <w:outlineLvl w:val="0"/>
    </w:pPr>
    <w:rPr>
      <w:color w:val="2E74B5"/>
      <w:sz w:val="32"/>
      <w:szCs w:val="32"/>
    </w:rPr>
  </w:style>
  <w:style w:type="paragraph" w:styleId="Titre2">
    <w:name w:val="heading 2"/>
    <w:uiPriority w:val="9"/>
    <w:semiHidden/>
    <w:unhideWhenUsed/>
    <w:qFormat/>
    <w:pPr>
      <w:outlineLvl w:val="1"/>
    </w:pPr>
    <w:rPr>
      <w:color w:val="2E74B5"/>
      <w:sz w:val="26"/>
      <w:szCs w:val="26"/>
    </w:rPr>
  </w:style>
  <w:style w:type="paragraph" w:styleId="Titre3">
    <w:name w:val="heading 3"/>
    <w:uiPriority w:val="9"/>
    <w:semiHidden/>
    <w:unhideWhenUsed/>
    <w:qFormat/>
    <w:pPr>
      <w:outlineLvl w:val="2"/>
    </w:pPr>
    <w:rPr>
      <w:color w:val="1F4D78"/>
      <w:sz w:val="24"/>
      <w:szCs w:val="24"/>
    </w:rPr>
  </w:style>
  <w:style w:type="paragraph" w:styleId="Titre4">
    <w:name w:val="heading 4"/>
    <w:uiPriority w:val="9"/>
    <w:semiHidden/>
    <w:unhideWhenUsed/>
    <w:qFormat/>
    <w:pPr>
      <w:outlineLvl w:val="3"/>
    </w:pPr>
    <w:rPr>
      <w:i/>
      <w:iCs/>
      <w:color w:val="2E74B5"/>
    </w:rPr>
  </w:style>
  <w:style w:type="paragraph" w:styleId="Titre5">
    <w:name w:val="heading 5"/>
    <w:uiPriority w:val="9"/>
    <w:semiHidden/>
    <w:unhideWhenUsed/>
    <w:qFormat/>
    <w:pPr>
      <w:outlineLvl w:val="4"/>
    </w:pPr>
    <w:rPr>
      <w:color w:val="2E74B5"/>
    </w:rPr>
  </w:style>
  <w:style w:type="paragraph" w:styleId="Titre6">
    <w:name w:val="heading 6"/>
    <w:uiPriority w:val="9"/>
    <w:semiHidden/>
    <w:unhideWhenUsed/>
    <w:qFormat/>
    <w:pPr>
      <w:outlineLvl w:val="5"/>
    </w:pPr>
    <w:rPr>
      <w:color w:val="1F4D7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uiPriority w:val="10"/>
    <w:qFormat/>
    <w:rPr>
      <w:sz w:val="56"/>
      <w:szCs w:val="56"/>
    </w:rPr>
  </w:style>
  <w:style w:type="paragraph" w:customStyle="1" w:styleId="lev1">
    <w:name w:val="Élevé1"/>
    <w:qFormat/>
    <w:rPr>
      <w:b/>
      <w:bCs/>
    </w:rPr>
  </w:style>
  <w:style w:type="paragraph" w:styleId="Paragraphedeliste">
    <w:name w:val="List Paragraph"/>
    <w:qFormat/>
  </w:style>
  <w:style w:type="character" w:styleId="Lienhypertexte">
    <w:name w:val="Hyperlink"/>
    <w:uiPriority w:val="99"/>
    <w:unhideWhenUsed/>
    <w:rPr>
      <w:color w:val="0563C1"/>
      <w:u w:val="single"/>
    </w:rPr>
  </w:style>
  <w:style w:type="character" w:styleId="Appelnotedebasdep">
    <w:name w:val="footnote reference"/>
    <w:uiPriority w:val="99"/>
    <w:semiHidden/>
    <w:unhideWhenUsed/>
    <w:rPr>
      <w:vertAlign w:val="superscript"/>
    </w:rPr>
  </w:style>
  <w:style w:type="paragraph" w:styleId="Notedebasdepage">
    <w:name w:val="footnote text"/>
    <w:link w:val="NotedebasdepageCar"/>
    <w:uiPriority w:val="99"/>
    <w:semiHidden/>
    <w:unhideWhenUsed/>
    <w:rPr>
      <w:sz w:val="20"/>
      <w:szCs w:val="20"/>
    </w:rPr>
  </w:style>
  <w:style w:type="character" w:customStyle="1" w:styleId="NotedebasdepageCar">
    <w:name w:val="Note de bas de page Car"/>
    <w:link w:val="Notedebasdepage"/>
    <w:uiPriority w:val="99"/>
    <w:semiHidden/>
    <w:unhideWhenUsed/>
    <w:rPr>
      <w:sz w:val="20"/>
      <w:szCs w:val="20"/>
    </w:rPr>
  </w:style>
  <w:style w:type="paragraph" w:customStyle="1" w:styleId="Titredesnotices">
    <w:name w:val="Titre des notices"/>
    <w:rPr>
      <w:b/>
      <w:bCs/>
    </w:rPr>
  </w:style>
  <w:style w:type="paragraph" w:customStyle="1" w:styleId="Rsumdesnotices">
    <w:name w:val="Résumé des notices"/>
    <w:rPr>
      <w:color w:val="1D2329"/>
    </w:rPr>
  </w:style>
  <w:style w:type="paragraph" w:styleId="En-tte">
    <w:name w:val="header"/>
    <w:basedOn w:val="Normal"/>
    <w:link w:val="En-tteCar"/>
    <w:uiPriority w:val="99"/>
    <w:unhideWhenUsed/>
    <w:rsid w:val="00F43438"/>
    <w:pPr>
      <w:tabs>
        <w:tab w:val="center" w:pos="4536"/>
        <w:tab w:val="right" w:pos="9072"/>
      </w:tabs>
    </w:pPr>
  </w:style>
  <w:style w:type="character" w:customStyle="1" w:styleId="En-tteCar">
    <w:name w:val="En-tête Car"/>
    <w:basedOn w:val="Policepardfaut"/>
    <w:link w:val="En-tte"/>
    <w:uiPriority w:val="99"/>
    <w:rsid w:val="00F43438"/>
  </w:style>
  <w:style w:type="paragraph" w:styleId="Pieddepage">
    <w:name w:val="footer"/>
    <w:basedOn w:val="Normal"/>
    <w:link w:val="PieddepageCar"/>
    <w:uiPriority w:val="99"/>
    <w:unhideWhenUsed/>
    <w:rsid w:val="00F43438"/>
    <w:pPr>
      <w:tabs>
        <w:tab w:val="center" w:pos="4536"/>
        <w:tab w:val="right" w:pos="9072"/>
      </w:tabs>
    </w:pPr>
  </w:style>
  <w:style w:type="character" w:customStyle="1" w:styleId="PieddepageCar">
    <w:name w:val="Pied de page Car"/>
    <w:basedOn w:val="Policepardfaut"/>
    <w:link w:val="Pieddepage"/>
    <w:uiPriority w:val="99"/>
    <w:rsid w:val="00F43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1050</Words>
  <Characters>5780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Catherine Malassis</cp:lastModifiedBy>
  <cp:revision>2</cp:revision>
  <dcterms:created xsi:type="dcterms:W3CDTF">2024-11-25T13:38:00Z</dcterms:created>
  <dcterms:modified xsi:type="dcterms:W3CDTF">2024-11-25T13:38:00Z</dcterms:modified>
</cp:coreProperties>
</file>