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Conduite du changement : concepts clés : 60 ans de pratiques héritées des auteurs fondateurs</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Une approche du changement dans l'entreprise, préoccupation première des dirigeants, qui y voient un instrument au service de la performance et de l'adaptabilité de l'organisation. Les auteurs abordent les enjeux et les pratiques de la conduite du changeme</w:t>
            </w:r>
            <w:r>
              <w:t>nt ainsi que de grands types de changements décryptés à la lumière de concepts-clés.</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Une histoire des femmes en Europe (des grottes aux Lumières) : objets, images, textes</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Une série d'études sur la place, le rôle et l'image des femmes de la préhistoire au siècle des lumières, à travers de nombreux textes. Les contributeurs s'aident d'une importante iconographie, permettant de mettre en évidence les aspirations et les obstacl</w:t>
            </w:r>
            <w:r>
              <w:t>es des femmes concernant l'égalité des sexes, tout en offrant une histoire universelle de l'Europe.</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Un parcours de recherche-création féministe : entre affinités et complicités</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A partir d'une réflexion sur son parcours personnel de recherche-création féministe, l'auteure plaide en faveur d'une articulation permanente entre la pratique artistique et les sciences sociales, mettant en évidence les enjeux de la recherche face à l'évo</w:t>
            </w:r>
            <w:r>
              <w:t>lution du métier d'artiste, entre autres.</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 xml:space="preserve">A l'école des sentinelles : </w:t>
            </w:r>
            <w:proofErr w:type="spellStart"/>
            <w:r>
              <w:t>re-faire</w:t>
            </w:r>
            <w:proofErr w:type="spellEnd"/>
            <w:r>
              <w:t xml:space="preserve"> architecture. Sentinel </w:t>
            </w:r>
            <w:proofErr w:type="spellStart"/>
            <w:r>
              <w:t>school</w:t>
            </w:r>
            <w:proofErr w:type="spellEnd"/>
            <w:r>
              <w:t xml:space="preserve"> : re-</w:t>
            </w:r>
            <w:proofErr w:type="spellStart"/>
            <w:r>
              <w:t>making</w:t>
            </w:r>
            <w:proofErr w:type="spellEnd"/>
            <w:r>
              <w:t xml:space="preserve"> architecture</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 xml:space="preserve">Récit de l'expérience pédagogique, humaine, technique et innovante menée pour l'hôtel des </w:t>
            </w:r>
            <w:proofErr w:type="spellStart"/>
            <w:r>
              <w:t>Deux-soeurs</w:t>
            </w:r>
            <w:proofErr w:type="spellEnd"/>
            <w:r>
              <w:t>, au col de l'</w:t>
            </w:r>
            <w:proofErr w:type="spellStart"/>
            <w:r>
              <w:t>Arzelier</w:t>
            </w:r>
            <w:proofErr w:type="spellEnd"/>
            <w:r>
              <w:t>, par une équipe universitaire engagée dans la compétition Solar Decathlon Europe 2021-2022. L'expérimentation prend place dans le ca</w:t>
            </w:r>
            <w:r>
              <w:t>dre d'une réflexion sur la réhabilitation de l'architecture de moyenne montagne, touchée par les conséquences du réchauffement climatique.</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L'exposition à l'</w:t>
            </w:r>
            <w:proofErr w:type="spellStart"/>
            <w:r>
              <w:t>oeuvre</w:t>
            </w:r>
            <w:proofErr w:type="spellEnd"/>
            <w:r>
              <w:t xml:space="preserve"> : stratégies de communication et médiation symbolique</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pPr>
              <w:pStyle w:val="Rsumdesnotices"/>
              <w:keepNext/>
              <w:spacing w:line="270" w:lineRule="auto"/>
            </w:pP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La rupture patrimoniale</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Réflexion sur le patrimoine humain d'un point de vue sociologique et sur les actions urbaines contemporaines réalisées pour entretenir cette mémoire collective. Celles-ci sont de deux sortes : le résultat de l'action publique qui affirme sa gestion de la c</w:t>
            </w:r>
            <w:r>
              <w:t>ité et les démarches de divers groupes sociaux qui utilisent le patrimoine.</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Faire face à un terrain sensible : quand l'accès au terrain pose des difficultés aux jeunes chercheurs</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Des jeunes chercheurs et doctorants en sciences humaines et sociales relatent leurs expériences ainsi que leurs stratégies pour mener à bien une recherche sensible : guerre, maladie, handicap, illégalité, etc. Ces témoignages transdisciplinaires permettent</w:t>
            </w:r>
            <w:r>
              <w:t xml:space="preserve"> de traiter des problématiques variées pour encourager la recherche sensible.</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lastRenderedPageBreak/>
              <w:drawing>
                <wp:inline distT="0" distB="0" distL="0" distR="0">
                  <wp:extent cx="571500" cy="9525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Patrimoines en crise : (ré)appropriation de l'héritage culturel dans l'espace européen</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A travers les crises (sanitaire, financière, migratoire, climatique, entre autres) qui ont marqué l'histoire de l'Europe, les contributeurs examinent la façon dont les différentes sociétés revalorisent leur héritage culturel, aussi bien à l'échelle régiona</w:t>
            </w:r>
            <w:r>
              <w:t>le que nationale. Les recontextualisations ainsi que les réappropriations des patrimoines matériel et immatériel sont notamment étudiées.</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Les minorités au musée : réflexions franco-américaines</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 xml:space="preserve">Une analyse critique comparée de la question de la représentation et de la visibilité des minorités dans les musées. A partir d'études de cas menées aux Etats-Unis, au Canada et en France, les contributeurs mettent en regard les mutations des doctrines et </w:t>
            </w:r>
            <w:r>
              <w:t xml:space="preserve">les pratiques </w:t>
            </w:r>
            <w:proofErr w:type="spellStart"/>
            <w:r>
              <w:t>expographiques</w:t>
            </w:r>
            <w:proofErr w:type="spellEnd"/>
            <w:r>
              <w:t xml:space="preserve"> des trois pays.</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L'expertise dans les médias pendant la pandémie : de la diversité d'experts à la cacophonie</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Bon nombre d'experts en santé, de médecins et de scientifiques sont intervenus dans les médias français et étrangers pendant la crise sanitaire de la Covid-19. Les contributeurs décryptent la place, la nature et l'impact de cette expertise médicale ainsi q</w:t>
            </w:r>
            <w:r>
              <w:t>ue la façon dont les journalistes ont véhiculé les informations.</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Idées reçues sur les gilets jaunes : un marqueur des luttes sociales contemporaines</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Le mouvement des gilets des jaunes a surpris par son ampleur, son inscription dans la durée et ses multiples formes, donnant lieu à des commentaires souvent contradictoires et condescendants. Partant d'enquêtes empiriques réalisées depuis 2018, les contrib</w:t>
            </w:r>
            <w:r>
              <w:t>uteurs analysent les caractéristiques de ce mouvement de contestation et les idées reçues qu'il suscite.</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L'opéra jeune public</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Une exploration de l'univers de l'opéra jeune public à travers l'analyse de la rencontre entre le monde de l'enfance et celui de la création contemporaine. Une enquête à l'échelle européenne permet par ailleurs de montrer les préoccupations communes des cr</w:t>
            </w:r>
            <w:r>
              <w:t xml:space="preserve">éateurs, des programmateurs et des éducateurs ainsi que la réception des </w:t>
            </w:r>
            <w:proofErr w:type="spellStart"/>
            <w:r>
              <w:t>oeuvres</w:t>
            </w:r>
            <w:proofErr w:type="spellEnd"/>
            <w:r>
              <w:t xml:space="preserve"> par les enfants.</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La fabrique de la thèse : guide collectif d'un exercice personnel</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Ce guide de rédaction d'une thèse couvre les aspects pratiques et sociaux de l'exercice, du choix du sujet aux débouchés en passant par le financement, l'écriture et l'expérience du terrain.</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La fin de la conversation ? : la parole dans une société spec</w:t>
            </w:r>
            <w:r>
              <w:t>trale</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A cause de toutes les technologies qui l'entourent, l'individu hypermoderne ne perçoit que de manière accessoire son environnement physique et humain. L'auteur regrette que la société numérique morcelle le lien social et détruise les anciennes solidarités,</w:t>
            </w:r>
            <w:r>
              <w:t xml:space="preserve"> rendant les individus plus solitaires que jamais. La dissociation est désormais une donnée banale du quotidien, surtout pour les adolescents.</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lastRenderedPageBreak/>
              <w:drawing>
                <wp:inline distT="0" distB="0" distL="0" distR="0">
                  <wp:extent cx="571500" cy="9525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Sociologie du journalisme</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 xml:space="preserve">Analyse des différents aspects et enjeux actuels de la profession, abordant les relations du journaliste avec les entreprises de presse, les sources et les publics. L'auteur questionne une actualité marquée par l'irruption d'une presse gratuite et l'essor </w:t>
            </w:r>
            <w:r>
              <w:t>sur le web d'une catégorie de producteurs d'informations qui déborde le journalisme.</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 xml:space="preserve">Sortir des crises : One </w:t>
            </w:r>
            <w:proofErr w:type="spellStart"/>
            <w:r>
              <w:t>Health</w:t>
            </w:r>
            <w:proofErr w:type="spellEnd"/>
            <w:r>
              <w:t xml:space="preserve"> en pratiques</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 xml:space="preserve">L'initiative One </w:t>
            </w:r>
            <w:proofErr w:type="spellStart"/>
            <w:r>
              <w:t>Health</w:t>
            </w:r>
            <w:proofErr w:type="spellEnd"/>
            <w:r>
              <w:t xml:space="preserve"> vise à souligner les interdépendances entre la santé animale, celle des écosystèmes et la santé humaine. Ces contributions de chercheurs et de professionnels s'appuient sur des cas concrets pour proposer une lecture des enjeux et de</w:t>
            </w:r>
            <w:r>
              <w:t>s problèmes sanitaires dans un monde globalisé, des retours d'expérience de gestion de crises et des innovations dans le domaine de la santé.</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Le populisme : symptôme d'une crise de la démocratie : comment le néolibéralisme a triomphé en France et en Suède</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Le phénomène populiste est en expansion en France et en Suède depuis des décennies, au point que les médias s'inquiètent d'une menace pour la démocratie. L'auteur souligne que le populisme est la conséquence, et non la cause, d'une crise de la démocratie l</w:t>
            </w:r>
            <w:r>
              <w:t>ibérale. Il considère ce phénomène comme le résultat de la domination du pouvoir économique sur le pouvoir politique.</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4"/>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 xml:space="preserve">Faire durer les objets : pratiques et ressources dans l'art de </w:t>
            </w:r>
            <w:proofErr w:type="spellStart"/>
            <w:r>
              <w:t>déconsommer</w:t>
            </w:r>
            <w:proofErr w:type="spellEnd"/>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Un examen des habitudes de consommation et de conservation des biens dans une société confrontée à l'incitation à la consommation et à la critique de l'obsolescence. Se fondant sur ses observations et des entretiens, l'auteure observe les méthodes de répar</w:t>
            </w:r>
            <w:r>
              <w:t xml:space="preserve">ation ainsi que les moyens mis en </w:t>
            </w:r>
            <w:proofErr w:type="spellStart"/>
            <w:r>
              <w:t>oeuvre</w:t>
            </w:r>
            <w:proofErr w:type="spellEnd"/>
            <w:r>
              <w:t xml:space="preserve"> pour maîtriser sa consommation grâce au bricolage ou au réemploi, entre autres.</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5"/>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La figure de l'aidant : contributions à l'évolution des pratiques</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Issues d'un colloque qui s'est tenu en 2022, ces contributions examinent la figure de l'aidant médical ou familial. Les auteurs analysent également de quelle manière son statut est amené à se développer dans un contexte d'évolution démographique et sanitai</w:t>
            </w:r>
            <w:r>
              <w:t>re.</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6"/>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proofErr w:type="spellStart"/>
            <w:r>
              <w:t>Etre</w:t>
            </w:r>
            <w:proofErr w:type="spellEnd"/>
            <w:r>
              <w:t xml:space="preserve"> un geste, un cri, une action : prises de parole au féminin dans les productions littéraires, culturelles et médiatiques</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 xml:space="preserve">Des contributions sur les stratégies discursives employées par les femmes et l'hétérogénéité des pratiques culturelles et médiatiques de celles-ci. Les études littéraires, cinématographiques ou encore médiatiques mettent en lumière les prises de parole au </w:t>
            </w:r>
            <w:r>
              <w:t>féminin et leur structuration par la conscience féministe.</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7"/>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Le travail de la fiction : dans les coulisses d'une série télévisée</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lastRenderedPageBreak/>
              <w:t>Une étude qui présente les rouages de la fabrication de la fiction, et sa représentation de la réalité sociale, à travers le cas des séries télévisées, et notamment à partir d'une enquête de terrain dans les coulisses de la série française Plus belle la vi</w:t>
            </w:r>
            <w:r>
              <w:t>e. Des extraits d'entretiens entre les scénaristes, les réalisateurs et les comédiens illustrent l'analyse de la division du travail du secteur.</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8"/>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Hermès, n° 93. L'Europe du Nord : si proche, si lointaine</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Les contributeurs questionnent les représentations simplistes, parfois datées et erronées autour du Danemark, de la Finlande, de l'Islande, de la Norvège et de la Suède. Ils analysent également les grands bouleversements géopolitiques de ces pays, les inco</w:t>
            </w:r>
            <w:r>
              <w:t>mmunications qui les traversent, leurs modèles en concurrence ou en crise ainsi que les représentations, stéréotypes et identités nordiques.</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9"/>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 xml:space="preserve">Sexualités et dissidences </w:t>
            </w:r>
            <w:proofErr w:type="spellStart"/>
            <w:r>
              <w:t>queers</w:t>
            </w:r>
            <w:proofErr w:type="spellEnd"/>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A la jonction des savoirs universitaires et militants, ce livre entend démystifier l’emprise qu’exercent les normes sur nos sexualités. L’ordre sexuel comporte un ensemble de règles souvent tacites régulant les dimensions les plus intimes de nos vies. Qu’a</w:t>
            </w:r>
            <w:r>
              <w:t xml:space="preserve">-t-il comme effet sur </w:t>
            </w:r>
            <w:proofErr w:type="spellStart"/>
            <w:r>
              <w:t>certain·es</w:t>
            </w:r>
            <w:proofErr w:type="spellEnd"/>
            <w:r>
              <w:t xml:space="preserve"> membres de la société ?...</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0"/>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Musées, mutations...</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Des études pluridisciplinaires où sont analysées les mutations du paysage muséal depuis la Seconde Guerre mondiale, dans leurs dimensions institutionnelles, culturelles, communicationnelles, historiques et patrimoniales, ainsi que les tendances à l'</w:t>
            </w:r>
            <w:proofErr w:type="spellStart"/>
            <w:r>
              <w:t>oeuvre</w:t>
            </w:r>
            <w:proofErr w:type="spellEnd"/>
            <w:r>
              <w:t xml:space="preserve"> </w:t>
            </w:r>
            <w:r>
              <w:t>dans les institutions elles-mêmes.</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Muséologies-Les cahiers d'études supérieures, Vol 10, N°2, 2024</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pPr>
              <w:pStyle w:val="Rsumdesnotices"/>
              <w:keepNext/>
              <w:spacing w:line="270" w:lineRule="auto"/>
            </w:pP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1"/>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De la rue à la présidence : foyers contestataires à Mexico</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 xml:space="preserve">Une analyse des mouvements d'opposition à Mexico, entre l'élection présidentielle de 2006 et l'arrivée au pouvoir d'Andrés Manuel Lopez </w:t>
            </w:r>
            <w:proofErr w:type="spellStart"/>
            <w:r>
              <w:t>Obrador</w:t>
            </w:r>
            <w:proofErr w:type="spellEnd"/>
            <w:r>
              <w:t xml:space="preserve"> en 2018. L'auteure s'intéresse aux enjeux politiques engendrés par les mobilisations collectives et interroge le</w:t>
            </w:r>
            <w:r>
              <w:t>s modalités de ces rassemblements en croisant les parcours individuels de quatre protagonistes, issus de catégories sociales variées.</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drawing>
                <wp:inline distT="0" distB="0" distL="0" distR="0">
                  <wp:extent cx="571500" cy="95250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2"/>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Donner la parole aux sans-voix ? : construction sociale et mise en discours d'un problème public</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6A09C4">
            <w:pPr>
              <w:pStyle w:val="Rsumdesnotices"/>
              <w:keepNext/>
              <w:spacing w:line="270" w:lineRule="auto"/>
            </w:pPr>
            <w:r>
              <w:t>Dans une perspective interdisciplinaire, les auteurs analysent les configurations relationnelles dans lesquelles des acteurs réputés sans-voix sont invités à prendre part à des jeux d'énonciation dont les règles sont fixées par des acteurs de rang plus éle</w:t>
            </w:r>
            <w:r>
              <w:t>vé. La reconfiguration du jeu politique via ces dispositifs pensés pour extraire les dominés des rapports de domination est examinée.</w:t>
            </w:r>
          </w:p>
        </w:tc>
      </w:tr>
    </w:tbl>
    <w:p w:rsidR="00444372" w:rsidRDefault="00444372">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444372">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444372" w:rsidRDefault="006A09C4">
            <w:pPr>
              <w:keepNext/>
            </w:pPr>
            <w:r>
              <w:rPr>
                <w:noProof/>
              </w:rPr>
              <w:lastRenderedPageBreak/>
              <w:drawing>
                <wp:inline distT="0" distB="0" distL="0" distR="0">
                  <wp:extent cx="571500" cy="95250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444372" w:rsidRDefault="006A09C4">
            <w:pPr>
              <w:pStyle w:val="Titredesnotices"/>
              <w:keepNext/>
              <w:spacing w:after="100" w:line="300" w:lineRule="auto"/>
            </w:pPr>
            <w:r>
              <w:t>Communication et émotion : regards sur les médias et les espaces publics</w:t>
            </w:r>
          </w:p>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tc>
      </w:tr>
      <w:tr w:rsidR="00444372">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444372" w:rsidRDefault="00444372">
            <w:pPr>
              <w:pStyle w:val="Rsumdesnotices"/>
              <w:keepNext/>
              <w:spacing w:line="270" w:lineRule="auto"/>
            </w:pPr>
          </w:p>
        </w:tc>
      </w:tr>
    </w:tbl>
    <w:p w:rsidR="00000000" w:rsidRDefault="006A09C4"/>
    <w:sectPr w:rsidR="00000000">
      <w:headerReference w:type="even" r:id="rId33"/>
      <w:headerReference w:type="default" r:id="rId34"/>
      <w:footerReference w:type="even" r:id="rId35"/>
      <w:footerReference w:type="default" r:id="rId36"/>
      <w:headerReference w:type="first" r:id="rId37"/>
      <w:footerReference w:type="first" r:id="rId38"/>
      <w:pgSz w:w="11906" w:h="16838"/>
      <w:pgMar w:top="1000" w:right="200" w:bottom="1000" w:left="200" w:header="708" w:footer="708" w:gutter="0"/>
      <w:cols w:num="2" w:space="2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9C4" w:rsidRDefault="006A09C4" w:rsidP="006A09C4">
      <w:r>
        <w:separator/>
      </w:r>
    </w:p>
  </w:endnote>
  <w:endnote w:type="continuationSeparator" w:id="0">
    <w:p w:rsidR="006A09C4" w:rsidRDefault="006A09C4" w:rsidP="006A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9C4" w:rsidRDefault="006A09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9C4" w:rsidRDefault="006A09C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9C4" w:rsidRDefault="006A09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9C4" w:rsidRDefault="006A09C4" w:rsidP="006A09C4">
      <w:r>
        <w:separator/>
      </w:r>
    </w:p>
  </w:footnote>
  <w:footnote w:type="continuationSeparator" w:id="0">
    <w:p w:rsidR="006A09C4" w:rsidRDefault="006A09C4" w:rsidP="006A0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9C4" w:rsidRDefault="006A09C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9C4" w:rsidRPr="006A09C4" w:rsidRDefault="006A09C4" w:rsidP="006A09C4">
    <w:pPr>
      <w:pStyle w:val="En-tte"/>
      <w:jc w:val="center"/>
      <w:rPr>
        <w:b/>
      </w:rPr>
    </w:pPr>
    <w:r w:rsidRPr="006A09C4">
      <w:rPr>
        <w:b/>
      </w:rPr>
      <w:t>CDRSHS NOUVEAUTES SEPTEMBRE 2024</w:t>
    </w:r>
    <w:bookmarkStart w:id="0" w:name="_GoBack"/>
    <w:bookmarkEnd w:id="0"/>
  </w:p>
  <w:p w:rsidR="006A09C4" w:rsidRDefault="006A09C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9C4" w:rsidRDefault="006A09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C0F79"/>
    <w:multiLevelType w:val="hybridMultilevel"/>
    <w:tmpl w:val="73E8F56E"/>
    <w:lvl w:ilvl="0" w:tplc="2A94C9CC">
      <w:start w:val="1"/>
      <w:numFmt w:val="bullet"/>
      <w:lvlText w:val="●"/>
      <w:lvlJc w:val="left"/>
      <w:pPr>
        <w:ind w:left="720" w:hanging="360"/>
      </w:pPr>
    </w:lvl>
    <w:lvl w:ilvl="1" w:tplc="55A61940">
      <w:start w:val="1"/>
      <w:numFmt w:val="bullet"/>
      <w:lvlText w:val="○"/>
      <w:lvlJc w:val="left"/>
      <w:pPr>
        <w:ind w:left="1440" w:hanging="360"/>
      </w:pPr>
    </w:lvl>
    <w:lvl w:ilvl="2" w:tplc="04708C70">
      <w:start w:val="1"/>
      <w:numFmt w:val="bullet"/>
      <w:lvlText w:val="■"/>
      <w:lvlJc w:val="left"/>
      <w:pPr>
        <w:ind w:left="2160" w:hanging="360"/>
      </w:pPr>
    </w:lvl>
    <w:lvl w:ilvl="3" w:tplc="0C240EF6">
      <w:start w:val="1"/>
      <w:numFmt w:val="bullet"/>
      <w:lvlText w:val="●"/>
      <w:lvlJc w:val="left"/>
      <w:pPr>
        <w:ind w:left="2880" w:hanging="360"/>
      </w:pPr>
    </w:lvl>
    <w:lvl w:ilvl="4" w:tplc="70D62DC0">
      <w:start w:val="1"/>
      <w:numFmt w:val="bullet"/>
      <w:lvlText w:val="○"/>
      <w:lvlJc w:val="left"/>
      <w:pPr>
        <w:ind w:left="3600" w:hanging="360"/>
      </w:pPr>
    </w:lvl>
    <w:lvl w:ilvl="5" w:tplc="62E21246">
      <w:start w:val="1"/>
      <w:numFmt w:val="bullet"/>
      <w:lvlText w:val="■"/>
      <w:lvlJc w:val="left"/>
      <w:pPr>
        <w:ind w:left="4320" w:hanging="360"/>
      </w:pPr>
    </w:lvl>
    <w:lvl w:ilvl="6" w:tplc="8842BE20">
      <w:start w:val="1"/>
      <w:numFmt w:val="bullet"/>
      <w:lvlText w:val="●"/>
      <w:lvlJc w:val="left"/>
      <w:pPr>
        <w:ind w:left="5040" w:hanging="360"/>
      </w:pPr>
    </w:lvl>
    <w:lvl w:ilvl="7" w:tplc="70946A7C">
      <w:start w:val="1"/>
      <w:numFmt w:val="bullet"/>
      <w:lvlText w:val="●"/>
      <w:lvlJc w:val="left"/>
      <w:pPr>
        <w:ind w:left="5760" w:hanging="360"/>
      </w:pPr>
    </w:lvl>
    <w:lvl w:ilvl="8" w:tplc="A01602E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372"/>
    <w:rsid w:val="00444372"/>
    <w:rsid w:val="006A09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7A99AFB"/>
  <w15:docId w15:val="{E14533F7-C0B0-417F-81A2-4CD1A6FB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uiPriority w:val="9"/>
    <w:qFormat/>
    <w:pPr>
      <w:outlineLvl w:val="0"/>
    </w:pPr>
    <w:rPr>
      <w:color w:val="2E74B5"/>
      <w:sz w:val="32"/>
      <w:szCs w:val="32"/>
    </w:rPr>
  </w:style>
  <w:style w:type="paragraph" w:styleId="Titre2">
    <w:name w:val="heading 2"/>
    <w:uiPriority w:val="9"/>
    <w:semiHidden/>
    <w:unhideWhenUsed/>
    <w:qFormat/>
    <w:pPr>
      <w:outlineLvl w:val="1"/>
    </w:pPr>
    <w:rPr>
      <w:color w:val="2E74B5"/>
      <w:sz w:val="26"/>
      <w:szCs w:val="26"/>
    </w:rPr>
  </w:style>
  <w:style w:type="paragraph" w:styleId="Titre3">
    <w:name w:val="heading 3"/>
    <w:uiPriority w:val="9"/>
    <w:semiHidden/>
    <w:unhideWhenUsed/>
    <w:qFormat/>
    <w:pPr>
      <w:outlineLvl w:val="2"/>
    </w:pPr>
    <w:rPr>
      <w:color w:val="1F4D78"/>
      <w:sz w:val="24"/>
      <w:szCs w:val="24"/>
    </w:rPr>
  </w:style>
  <w:style w:type="paragraph" w:styleId="Titre4">
    <w:name w:val="heading 4"/>
    <w:uiPriority w:val="9"/>
    <w:semiHidden/>
    <w:unhideWhenUsed/>
    <w:qFormat/>
    <w:pPr>
      <w:outlineLvl w:val="3"/>
    </w:pPr>
    <w:rPr>
      <w:i/>
      <w:iCs/>
      <w:color w:val="2E74B5"/>
    </w:rPr>
  </w:style>
  <w:style w:type="paragraph" w:styleId="Titre5">
    <w:name w:val="heading 5"/>
    <w:uiPriority w:val="9"/>
    <w:semiHidden/>
    <w:unhideWhenUsed/>
    <w:qFormat/>
    <w:pPr>
      <w:outlineLvl w:val="4"/>
    </w:pPr>
    <w:rPr>
      <w:color w:val="2E74B5"/>
    </w:rPr>
  </w:style>
  <w:style w:type="paragraph" w:styleId="Titre6">
    <w:name w:val="heading 6"/>
    <w:uiPriority w:val="9"/>
    <w:semiHidden/>
    <w:unhideWhenUsed/>
    <w:qFormat/>
    <w:pPr>
      <w:outlineLvl w:val="5"/>
    </w:pPr>
    <w:rPr>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uiPriority w:val="10"/>
    <w:qFormat/>
    <w:rPr>
      <w:sz w:val="56"/>
      <w:szCs w:val="56"/>
    </w:rPr>
  </w:style>
  <w:style w:type="paragraph" w:customStyle="1" w:styleId="lev1">
    <w:name w:val="Élevé1"/>
    <w:qFormat/>
    <w:rPr>
      <w:b/>
      <w:bCs/>
    </w:rPr>
  </w:style>
  <w:style w:type="paragraph" w:styleId="Paragraphedeliste">
    <w:name w:val="List Paragraph"/>
    <w:qFormat/>
  </w:style>
  <w:style w:type="character" w:styleId="Lienhypertexte">
    <w:name w:val="Hyperlink"/>
    <w:uiPriority w:val="99"/>
    <w:unhideWhenUsed/>
    <w:rPr>
      <w:color w:val="0563C1"/>
      <w:u w:val="single"/>
    </w:rPr>
  </w:style>
  <w:style w:type="character" w:styleId="Appelnotedebasdep">
    <w:name w:val="footnote reference"/>
    <w:uiPriority w:val="99"/>
    <w:semiHidden/>
    <w:unhideWhenUsed/>
    <w:rPr>
      <w:vertAlign w:val="superscript"/>
    </w:rPr>
  </w:style>
  <w:style w:type="paragraph" w:styleId="Notedebasdepage">
    <w:name w:val="footnote text"/>
    <w:link w:val="NotedebasdepageCar"/>
    <w:uiPriority w:val="99"/>
    <w:semiHidden/>
    <w:unhideWhenUsed/>
    <w:rPr>
      <w:sz w:val="20"/>
      <w:szCs w:val="20"/>
    </w:rPr>
  </w:style>
  <w:style w:type="character" w:customStyle="1" w:styleId="NotedebasdepageCar">
    <w:name w:val="Note de bas de page Car"/>
    <w:link w:val="Notedebasdepage"/>
    <w:uiPriority w:val="99"/>
    <w:semiHidden/>
    <w:unhideWhenUsed/>
    <w:rPr>
      <w:sz w:val="20"/>
      <w:szCs w:val="20"/>
    </w:rPr>
  </w:style>
  <w:style w:type="paragraph" w:customStyle="1" w:styleId="Titredesnotices">
    <w:name w:val="Titre des notices"/>
    <w:rPr>
      <w:b/>
      <w:bCs/>
    </w:rPr>
  </w:style>
  <w:style w:type="paragraph" w:customStyle="1" w:styleId="Rsumdesnotices">
    <w:name w:val="Résumé des notices"/>
    <w:rPr>
      <w:color w:val="1D2329"/>
    </w:rPr>
  </w:style>
  <w:style w:type="paragraph" w:styleId="En-tte">
    <w:name w:val="header"/>
    <w:basedOn w:val="Normal"/>
    <w:link w:val="En-tteCar"/>
    <w:uiPriority w:val="99"/>
    <w:unhideWhenUsed/>
    <w:rsid w:val="006A09C4"/>
    <w:pPr>
      <w:tabs>
        <w:tab w:val="center" w:pos="4536"/>
        <w:tab w:val="right" w:pos="9072"/>
      </w:tabs>
    </w:pPr>
  </w:style>
  <w:style w:type="character" w:customStyle="1" w:styleId="En-tteCar">
    <w:name w:val="En-tête Car"/>
    <w:basedOn w:val="Policepardfaut"/>
    <w:link w:val="En-tte"/>
    <w:uiPriority w:val="99"/>
    <w:rsid w:val="006A09C4"/>
  </w:style>
  <w:style w:type="paragraph" w:styleId="Pieddepage">
    <w:name w:val="footer"/>
    <w:basedOn w:val="Normal"/>
    <w:link w:val="PieddepageCar"/>
    <w:uiPriority w:val="99"/>
    <w:unhideWhenUsed/>
    <w:rsid w:val="006A09C4"/>
    <w:pPr>
      <w:tabs>
        <w:tab w:val="center" w:pos="4536"/>
        <w:tab w:val="right" w:pos="9072"/>
      </w:tabs>
    </w:pPr>
  </w:style>
  <w:style w:type="character" w:customStyle="1" w:styleId="PieddepageCar">
    <w:name w:val="Pied de page Car"/>
    <w:basedOn w:val="Policepardfaut"/>
    <w:link w:val="Pieddepage"/>
    <w:uiPriority w:val="99"/>
    <w:rsid w:val="006A0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21" Type="http://schemas.openxmlformats.org/officeDocument/2006/relationships/image" Target="media/image15.png"/><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1657</Words>
  <Characters>9117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Catherine Malassis</cp:lastModifiedBy>
  <cp:revision>2</cp:revision>
  <dcterms:created xsi:type="dcterms:W3CDTF">2024-11-25T13:34:00Z</dcterms:created>
  <dcterms:modified xsi:type="dcterms:W3CDTF">2024-11-25T13:34:00Z</dcterms:modified>
</cp:coreProperties>
</file>